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5A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Zaawansowane kompetencje cyfrowe jako kompetencje przyszłości</w:t>
      </w:r>
    </w:p>
    <w:p w:rsidR="004C0A5A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5A" w:rsidRDefault="0004603D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C0A5A">
        <w:rPr>
          <w:rFonts w:ascii="Times New Roman" w:eastAsia="Times New Roman" w:hAnsi="Times New Roman" w:cs="Times New Roman"/>
          <w:sz w:val="24"/>
          <w:szCs w:val="24"/>
        </w:rPr>
        <w:t>ntensywny rozwój technologii wymaga od członków społeczeństw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A5A">
        <w:rPr>
          <w:rFonts w:ascii="Times New Roman" w:eastAsia="Times New Roman" w:hAnsi="Times New Roman" w:cs="Times New Roman"/>
          <w:sz w:val="24"/>
          <w:szCs w:val="24"/>
        </w:rPr>
        <w:t xml:space="preserve"> informacyjnego </w:t>
      </w:r>
      <w:r w:rsidR="004C0A5A" w:rsidRPr="00560CA6">
        <w:rPr>
          <w:rFonts w:ascii="Times New Roman" w:eastAsia="Times New Roman" w:hAnsi="Times New Roman" w:cs="Times New Roman"/>
          <w:sz w:val="24"/>
          <w:szCs w:val="24"/>
        </w:rPr>
        <w:t>rozwijania i ciągłego kształtowania kompetencji, zarówno cyfrowych, jak i w zakresie selekcji oraz krytycznej oceny</w:t>
      </w:r>
      <w:r w:rsidR="004C0A5A" w:rsidRPr="00F723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C0A5A">
        <w:rPr>
          <w:rFonts w:ascii="Times New Roman" w:eastAsia="Times New Roman" w:hAnsi="Times New Roman" w:cs="Times New Roman"/>
          <w:sz w:val="24"/>
          <w:szCs w:val="24"/>
        </w:rPr>
        <w:t xml:space="preserve">informacji. Z tego powodu też konieczne jest dbanie o ustawiczne kształtowanie kompetencji kluczowych, podnoszenie jakości </w:t>
      </w:r>
      <w:r w:rsidR="004C0A5A" w:rsidRPr="002B7AC7">
        <w:rPr>
          <w:rFonts w:ascii="Times New Roman" w:eastAsia="Times New Roman" w:hAnsi="Times New Roman" w:cs="Times New Roman"/>
          <w:sz w:val="24"/>
          <w:szCs w:val="24"/>
        </w:rPr>
        <w:t>kształcenia</w:t>
      </w:r>
      <w:r w:rsidR="004C0A5A">
        <w:rPr>
          <w:rFonts w:ascii="Times New Roman" w:eastAsia="Times New Roman" w:hAnsi="Times New Roman" w:cs="Times New Roman"/>
          <w:sz w:val="24"/>
          <w:szCs w:val="24"/>
        </w:rPr>
        <w:t xml:space="preserve"> na wszystkich etapach edukacji, zwłaszcza w z</w:t>
      </w:r>
      <w:r>
        <w:rPr>
          <w:rFonts w:ascii="Times New Roman" w:eastAsia="Times New Roman" w:hAnsi="Times New Roman" w:cs="Times New Roman"/>
          <w:sz w:val="24"/>
          <w:szCs w:val="24"/>
        </w:rPr>
        <w:t>akresie niezbędnych kompetencji, także</w:t>
      </w:r>
      <w:r w:rsidR="004C0A5A">
        <w:rPr>
          <w:rFonts w:ascii="Times New Roman" w:eastAsia="Times New Roman" w:hAnsi="Times New Roman" w:cs="Times New Roman"/>
          <w:sz w:val="24"/>
          <w:szCs w:val="24"/>
        </w:rPr>
        <w:t xml:space="preserve"> ze względu na ograniczanie zjawiska wykluczenia cyfrowego.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A5A">
        <w:rPr>
          <w:rFonts w:ascii="Times New Roman" w:eastAsia="Times New Roman" w:hAnsi="Times New Roman" w:cs="Times New Roman"/>
          <w:sz w:val="24"/>
          <w:szCs w:val="24"/>
        </w:rPr>
        <w:t xml:space="preserve">W tekście opublikowanym ponad 15 lat temu Marek Furmanek stwierdza, że wszelkie zmiany w edukacji związane z cyfryzacją zachodzą zbyt wolno - </w:t>
      </w:r>
    </w:p>
    <w:p w:rsidR="004C0A5A" w:rsidRPr="00483A1F" w:rsidRDefault="004C0A5A" w:rsidP="004C0A5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83A1F">
        <w:rPr>
          <w:rFonts w:ascii="Times New Roman" w:eastAsia="Times New Roman" w:hAnsi="Times New Roman" w:cs="Times New Roman"/>
        </w:rPr>
        <w:t>„W jednym z majowych numerów tygodnika “Polityka” z 2004 roku, przedstawiono raport poświęcony polskiej szkole. Wymienia się tam jej siedem grzechów głównych: konserwatyzm, schematyzm, wojskowy dryl, nudę, sprzedajność, bałagan i oderwanie od rzeczywistości. Wydaje się, że jednym z najbardziej istotnych jest właśnie ten ostatni. Świat wokół dynamicznie się zmienia, pojawiają się nowe wyzwania związane z tworzeniem się społeczeństwa wiedzy, informacji i komunikacji, a szkoła, mimo czynionych starań, pozostaje enklawą tradycyjnej edukacji i konserwowania starych, “sprawdzonych wzorców nauczania i wychowania”</w:t>
      </w:r>
      <w:r w:rsidRPr="00483A1F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483A1F">
        <w:rPr>
          <w:rFonts w:ascii="Times New Roman" w:eastAsia="Times New Roman" w:hAnsi="Times New Roman" w:cs="Times New Roman"/>
        </w:rPr>
        <w:t xml:space="preserve">. </w:t>
      </w:r>
    </w:p>
    <w:p w:rsidR="004C0A5A" w:rsidRDefault="004C0A5A" w:rsidP="004C0A5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A4F2D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Przeobrażeniu powinien</w:t>
      </w:r>
      <w:r w:rsidRPr="00F723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ulec </w:t>
      </w:r>
      <w:r w:rsidRPr="002B7AC7">
        <w:rPr>
          <w:rFonts w:ascii="Times New Roman" w:eastAsia="Times New Roman" w:hAnsi="Times New Roman" w:cs="Times New Roman"/>
          <w:sz w:val="24"/>
          <w:szCs w:val="24"/>
        </w:rPr>
        <w:t>system kształcenia,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który zasadniczo na przestrzeni 200 lat niewiele się zmienił i funkcjonując wg tzw. modelu pruskiego nie kształci w uczniach kompetencji niezbędnych w XXI wieku. Zdaniem Anny Biernackiej dzisiejszy system edukacji nie spełnia wymagań, których potrzebuje społeczeństwo informacyjne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Podobnego zdania są także niektórzy pedagodzy, badacze historii. Okres pandemii znacząco przyśpieszył rozwój kompetencji cyfrowych polskich nauczycieli. </w:t>
      </w:r>
    </w:p>
    <w:p w:rsidR="004C0A5A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Według badaczy nauczyciel kompetentny cyfrowo to posiadający umiejętności i wiedzę na płaszczyznach:</w:t>
      </w:r>
    </w:p>
    <w:p w:rsidR="004C0A5A" w:rsidRPr="00617613" w:rsidRDefault="004C0A5A" w:rsidP="00DA30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617613">
        <w:rPr>
          <w:rFonts w:ascii="Times New Roman" w:eastAsia="Times New Roman" w:hAnsi="Times New Roman" w:cs="Times New Roman"/>
        </w:rPr>
        <w:t>1) skoncentrowanym na środowisku  zawodowym</w:t>
      </w:r>
    </w:p>
    <w:p w:rsidR="004C0A5A" w:rsidRPr="00617613" w:rsidRDefault="004C0A5A" w:rsidP="00DA3034">
      <w:pPr>
        <w:spacing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617613">
        <w:rPr>
          <w:rFonts w:ascii="Times New Roman" w:eastAsia="Times New Roman" w:hAnsi="Times New Roman" w:cs="Times New Roman"/>
        </w:rPr>
        <w:t>2)  związanym  z  pozyskiwaniem,  tworzeniem  i  udostępnianiem zasobów  cyfrowych</w:t>
      </w:r>
    </w:p>
    <w:p w:rsidR="00DA3034" w:rsidRDefault="004C0A5A" w:rsidP="00DA3034">
      <w:pPr>
        <w:spacing w:line="240" w:lineRule="auto"/>
        <w:ind w:firstLine="708"/>
        <w:rPr>
          <w:rFonts w:ascii="Times New Roman" w:eastAsia="Times New Roman" w:hAnsi="Times New Roman" w:cs="Times New Roman"/>
        </w:rPr>
      </w:pPr>
      <w:r w:rsidRPr="00617613">
        <w:rPr>
          <w:rFonts w:ascii="Times New Roman" w:eastAsia="Times New Roman" w:hAnsi="Times New Roman" w:cs="Times New Roman"/>
        </w:rPr>
        <w:t xml:space="preserve">3)  dotyczącym  zarządzania  i  koordynacji  wykorzystania </w:t>
      </w:r>
      <w:r w:rsidR="00DA3034">
        <w:rPr>
          <w:rFonts w:ascii="Times New Roman" w:eastAsia="Times New Roman" w:hAnsi="Times New Roman" w:cs="Times New Roman"/>
        </w:rPr>
        <w:t xml:space="preserve"> narzędzi cyfrowych w nauczaniu i    </w:t>
      </w:r>
    </w:p>
    <w:p w:rsidR="004C0A5A" w:rsidRPr="00617613" w:rsidRDefault="004C0A5A" w:rsidP="00DA3034">
      <w:pPr>
        <w:spacing w:line="240" w:lineRule="auto"/>
        <w:ind w:left="708" w:firstLine="282"/>
        <w:rPr>
          <w:rFonts w:ascii="Times New Roman" w:eastAsia="Times New Roman" w:hAnsi="Times New Roman" w:cs="Times New Roman"/>
        </w:rPr>
      </w:pPr>
      <w:r w:rsidRPr="00617613">
        <w:rPr>
          <w:rFonts w:ascii="Times New Roman" w:eastAsia="Times New Roman" w:hAnsi="Times New Roman" w:cs="Times New Roman"/>
        </w:rPr>
        <w:t>uczeniu się</w:t>
      </w:r>
      <w:r w:rsidR="00DA3034">
        <w:rPr>
          <w:rFonts w:ascii="Times New Roman" w:eastAsia="Times New Roman" w:hAnsi="Times New Roman" w:cs="Times New Roman"/>
        </w:rPr>
        <w:br/>
      </w:r>
      <w:r w:rsidRPr="00617613">
        <w:rPr>
          <w:rFonts w:ascii="Times New Roman" w:eastAsia="Times New Roman" w:hAnsi="Times New Roman" w:cs="Times New Roman"/>
        </w:rPr>
        <w:t>4) dotyczącym narzędzi i strategii cyfrowych służących poprawie oceny</w:t>
      </w:r>
    </w:p>
    <w:p w:rsidR="004C0A5A" w:rsidRPr="00617613" w:rsidRDefault="004C0A5A" w:rsidP="00DA30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17613">
        <w:rPr>
          <w:rFonts w:ascii="Times New Roman" w:eastAsia="Times New Roman" w:hAnsi="Times New Roman" w:cs="Times New Roman"/>
        </w:rPr>
        <w:t xml:space="preserve">5) wykorzystywanie narzędzi cyfrowych do wzmacniania pozycji uczniów oraz </w:t>
      </w:r>
    </w:p>
    <w:p w:rsidR="004C0A5A" w:rsidRDefault="004C0A5A" w:rsidP="00DA30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17613">
        <w:rPr>
          <w:rFonts w:ascii="Times New Roman" w:eastAsia="Times New Roman" w:hAnsi="Times New Roman" w:cs="Times New Roman"/>
        </w:rPr>
        <w:t>6) usprawnianie kompetencji cyfrowych uczniów</w:t>
      </w:r>
      <w:r>
        <w:rPr>
          <w:rFonts w:ascii="Times New Roman" w:eastAsia="Times New Roman" w:hAnsi="Times New Roman" w:cs="Times New Roman"/>
        </w:rPr>
        <w:t>”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3"/>
      </w:r>
      <w:r>
        <w:rPr>
          <w:rFonts w:ascii="Times New Roman" w:eastAsia="Times New Roman" w:hAnsi="Times New Roman" w:cs="Times New Roman"/>
        </w:rPr>
        <w:t>.</w:t>
      </w:r>
    </w:p>
    <w:p w:rsidR="004C0A5A" w:rsidRDefault="004C0A5A" w:rsidP="004C0A5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C0A5A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Liczne badania pokazały również, że uczniowie okazali się dużo mniej przygotowani do edukacji zdalnej i wykorzystywania technologii niż spodziewali się tego ich nauczyciele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4"/>
      </w:r>
      <w:r>
        <w:rPr>
          <w:rFonts w:ascii="Times New Roman" w:eastAsia="Times New Roman" w:hAnsi="Times New Roman" w:cs="Times New Roman"/>
        </w:rPr>
        <w:t>, a także że czas pandemii nie sprawił, że uczniowie zaczęli wykorzystywać Internet w celach innych niż rozrywka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5"/>
      </w:r>
      <w:r>
        <w:rPr>
          <w:rFonts w:ascii="Times New Roman" w:eastAsia="Times New Roman" w:hAnsi="Times New Roman" w:cs="Times New Roman"/>
        </w:rPr>
        <w:t xml:space="preserve"> </w:t>
      </w:r>
    </w:p>
    <w:p w:rsidR="004C0A5A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Czym są zatem owe kompetencje i na które warto zwrócić uwagę, wreszcie jakie kompetencje są kompetencjami przyszłości?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Wyraz “kompetencja” według definicji z internetowego wydania “Słownika języka polskiego” PWN oznacza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zakres czyjejś wiedzy, umiejętności i doświadczenia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Opis ten zgadza się z definicją Parlamentu Europejskiego, który stwierdza, że kompetencja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połączenie wiedzy, umiejętności i postaw odpowiednich do sytuacji</w:t>
      </w:r>
      <w:r w:rsidRPr="00DF10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 w:rsidRPr="00DF1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Oznacza to, zastosowanie wiedzy przy jednoczesnym wykorzystaniu wiedzy i umiejętności. Skoro kompetencję określa się jako umiejętność stosowania wiedzy, by rozwiązywać problemy lub wykonywać zadania to kompetencje możemy podzielić na:</w:t>
      </w:r>
    </w:p>
    <w:p w:rsidR="004C0A5A" w:rsidRPr="00515486" w:rsidRDefault="004C0A5A" w:rsidP="00515486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515486">
        <w:rPr>
          <w:rFonts w:ascii="Times New Roman" w:eastAsia="Times New Roman" w:hAnsi="Times New Roman" w:cs="Times New Roman"/>
        </w:rPr>
        <w:t>„umiejętności kognitywne (związane z procesem poznawczym, odnoszące się do poznawania czegoś), obejmujące myślenie logiczne, intuicyjne i kreatywne [...]</w:t>
      </w:r>
    </w:p>
    <w:p w:rsidR="004C0A5A" w:rsidRPr="00515486" w:rsidRDefault="004C0A5A" w:rsidP="00515486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15486">
        <w:rPr>
          <w:rFonts w:ascii="Times New Roman" w:eastAsia="Times New Roman" w:hAnsi="Times New Roman" w:cs="Times New Roman"/>
        </w:rPr>
        <w:t>umiejętności praktyczne, obejmujące sprawność oraz korzystanie z metod, materiałów, narzędzi i instrumentów</w:t>
      </w:r>
      <w:bookmarkEnd w:id="0"/>
      <w:r w:rsidRPr="00515486">
        <w:rPr>
          <w:rFonts w:ascii="Times New Roman" w:eastAsia="Times New Roman" w:hAnsi="Times New Roman" w:cs="Times New Roman"/>
        </w:rPr>
        <w:t>”</w:t>
      </w:r>
      <w:r w:rsidRPr="00483A1F">
        <w:rPr>
          <w:vertAlign w:val="superscript"/>
        </w:rPr>
        <w:footnoteReference w:id="8"/>
      </w:r>
      <w:r w:rsidRPr="00515486">
        <w:rPr>
          <w:rFonts w:ascii="Times New Roman" w:eastAsia="Times New Roman" w:hAnsi="Times New Roman" w:cs="Times New Roman"/>
        </w:rPr>
        <w:t>.</w:t>
      </w:r>
    </w:p>
    <w:p w:rsidR="004C0A5A" w:rsidRDefault="004C0A5A" w:rsidP="004C0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Jeśli mowa o kompetencjach to wyróżnia się także kompetencje twarde i miękkie. Do twardych zaliczamy konkretną wiedzę i umiejętności, które pozwalają nam na wykonywanie określonej pracy. Zazwyczaj są one poświadczone dyplomami, zaświadczeniami lub certyfikatami o ukończonych studiach, kursach. Kompetencje te mogą i powinny być cały czas rozwijane i doskonalone. Kompetencje miękkie to zbiór zdolności i wszystkich kompetencji społecznych, które decydują o podejmowanych decyzjach, postawach lub sposobie bycia. Grupa kompetencji miękkich jest bardzo szeroka, i mieści oprócz umiejętności interpersonalnych i kognitywnych, również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samoorganizacyjne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Obecnie pracodawcy przywiązują znaczną rolę do kompetencji miękkich i często za ich brak zwalniają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swoich pracowników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</w:rPr>
        <w:t>. Kompetencje miękkie to również kompetencje przyszłości, o których będzie mowa w dalszej części rozdziału.</w:t>
      </w:r>
    </w:p>
    <w:p w:rsidR="004C0A5A" w:rsidRPr="00F633B9" w:rsidRDefault="004C0A5A" w:rsidP="004C0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633B9">
        <w:rPr>
          <w:rFonts w:ascii="Times New Roman" w:eastAsia="Times New Roman" w:hAnsi="Times New Roman" w:cs="Times New Roman"/>
          <w:sz w:val="24"/>
          <w:szCs w:val="24"/>
        </w:rPr>
        <w:t>Termin „kompetencja” ma wiele znaczeń. Według Władysława Kopalińskiego „kompetencja” to zbiór, zestaw umiejętności, zdolności do dokonania lub zrobienia czegoś</w:t>
      </w:r>
      <w:r w:rsidRPr="00F633B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0"/>
      </w:r>
      <w:r w:rsidR="00DA4F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33B9">
        <w:rPr>
          <w:rFonts w:ascii="Times New Roman" w:eastAsia="Times New Roman" w:hAnsi="Times New Roman" w:cs="Times New Roman"/>
          <w:sz w:val="24"/>
          <w:szCs w:val="24"/>
        </w:rPr>
        <w:t xml:space="preserve"> Z kolei Wacław Strykowski stwierdza, że pozwala też na przygotowanie i zdolności jednostki do rozwiązywania  problemów bądź komunikowania się z innymi</w:t>
      </w:r>
      <w:r w:rsidRPr="00F633B9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1"/>
      </w:r>
      <w:r w:rsidRPr="00EA6D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33B9">
        <w:rPr>
          <w:rFonts w:ascii="Times New Roman" w:eastAsia="Times New Roman" w:hAnsi="Times New Roman" w:cs="Times New Roman"/>
          <w:sz w:val="24"/>
          <w:szCs w:val="24"/>
        </w:rPr>
        <w:t xml:space="preserve">Maria </w:t>
      </w:r>
      <w:proofErr w:type="spellStart"/>
      <w:r w:rsidRPr="00F633B9">
        <w:rPr>
          <w:rFonts w:ascii="Times New Roman" w:eastAsia="Times New Roman" w:hAnsi="Times New Roman" w:cs="Times New Roman"/>
          <w:sz w:val="24"/>
          <w:szCs w:val="24"/>
        </w:rPr>
        <w:t>Czerepaniak</w:t>
      </w:r>
      <w:proofErr w:type="spellEnd"/>
      <w:r w:rsidRPr="00F633B9">
        <w:rPr>
          <w:rFonts w:ascii="Times New Roman" w:eastAsia="Times New Roman" w:hAnsi="Times New Roman" w:cs="Times New Roman"/>
          <w:sz w:val="24"/>
          <w:szCs w:val="24"/>
        </w:rPr>
        <w:t xml:space="preserve">-Walczak uważa, że kompetencja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633B9">
        <w:rPr>
          <w:rFonts w:ascii="Times New Roman" w:eastAsia="Times New Roman" w:hAnsi="Times New Roman" w:cs="Times New Roman"/>
          <w:sz w:val="24"/>
          <w:szCs w:val="24"/>
        </w:rPr>
        <w:t>połączenie wiedzy, sprawności i rozumienia - „termin komp</w:t>
      </w:r>
      <w:r w:rsidRPr="001806C2">
        <w:rPr>
          <w:rFonts w:ascii="Times New Roman" w:eastAsia="Times New Roman" w:hAnsi="Times New Roman" w:cs="Times New Roman"/>
          <w:sz w:val="24"/>
          <w:szCs w:val="24"/>
        </w:rPr>
        <w:t>etencja można stosować do określenia uświadamianej sobie przez człowieka jego dyspozycji osiąganej z ciągu życia, poprzez wyuczenie”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A5A" w:rsidRDefault="004C0A5A" w:rsidP="004C0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Szkoła, czy też szerzej cały system edukacji, powinna odpowiadać na potrzeby nowoczesnej gospodarki. Stąd też konieczność kształtowania w uczniach kompetencji przyszłości, które zapewnią im aktywne  uczestnictwo w życiu społecznym i na dynamicznie zmieniającym się rynku pracy. Na podstawie rozmów z menedżerami różnego szczebla podczas Światowego Forum Ekonomicznego, które odbyło się w 2020 roku w Davos, powstała lista następujących kompetencji przyszłości: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>umiejętność rozwiązywania problemów rozumiana jako zdolność do szybkiego podejmowania decyzji i analizowania wielu danych oraz wdrażania nowych rozwiązań,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 xml:space="preserve">krytyczne myślenie - od lat znajduje się w pierwszej piątce najważniejszych kompetencji przyszłości. To umiejętność oddzielenia prawdy od </w:t>
      </w:r>
      <w:proofErr w:type="spellStart"/>
      <w:r w:rsidRPr="00DA3034">
        <w:rPr>
          <w:rFonts w:ascii="Times New Roman" w:eastAsia="Times New Roman" w:hAnsi="Times New Roman" w:cs="Times New Roman"/>
          <w:sz w:val="24"/>
          <w:szCs w:val="24"/>
        </w:rPr>
        <w:t>fake</w:t>
      </w:r>
      <w:proofErr w:type="spellEnd"/>
      <w:r w:rsidRPr="00DA3034">
        <w:rPr>
          <w:rFonts w:ascii="Times New Roman" w:eastAsia="Times New Roman" w:hAnsi="Times New Roman" w:cs="Times New Roman"/>
          <w:sz w:val="24"/>
          <w:szCs w:val="24"/>
        </w:rPr>
        <w:t xml:space="preserve"> newsów, logicznego i precyzyjnego rozumowania oraz doskonałej analizy,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>kreatywność - łatwość do myślenia poza schematem, do poszukiwania nowych i niestandardowych rozwiązań,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>zarządzanie ludźmi - niezwykle istotna kompetencja pozwalająca na umiejętne kierowanie pracą zespołową, kontrolowanie mowy ciała i jasną komunikację z innymi członkami zespołu. To również empatia, czyli łatwość odczuwania emocji innych ludzi,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lastRenderedPageBreak/>
        <w:t>samodzielne zarządzanie,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>aktywne uczenie się,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>analityczne myślenie i zdolność do innowacji,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>współpraca z innymi - mowa tu o elastyczności, dostosowywaniu swoich decyzji do samopoczucia grupy oraz otwartości na innych,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>inteligencja emocjonalna - to zupełnie nowa kompetencja, która pojawiła się na liście stosunkowo niedawno. Pozwala na rozpoznawanie i nazywanie emocji innych, a to ułatwia rozwiązywanie konfliktów i zwiększa produktywność całej grupy,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>wnioskowanie i podejmowanie decyzji - związane jest to z umiejętnością szybkiego podejmowania decyzji oraz samodzielnością pracownika,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>zorientowanie na usługi - rozumiane jako chęć współpracy i bycie otwartym zarówno na członków zespołu jak i klienta,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>negocjacje - umiejętność rozwiązywania problemów bezkonfliktowo i w sposób oczywisty dla zaangażowanych oraz pogodzenia różnych stanowisk,</w:t>
      </w:r>
    </w:p>
    <w:p w:rsidR="004C0A5A" w:rsidRPr="00DA3034" w:rsidRDefault="004C0A5A" w:rsidP="00DA303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034">
        <w:rPr>
          <w:rFonts w:ascii="Times New Roman" w:eastAsia="Times New Roman" w:hAnsi="Times New Roman" w:cs="Times New Roman"/>
          <w:sz w:val="24"/>
          <w:szCs w:val="24"/>
        </w:rPr>
        <w:t>elastyczność poznawcza - gotowość do poznawania nowych rozwiązań, scalania różnych koncepcji i pomysłów</w:t>
      </w:r>
      <w:r>
        <w:rPr>
          <w:vertAlign w:val="superscript"/>
        </w:rPr>
        <w:footnoteReference w:id="13"/>
      </w:r>
      <w:r w:rsidRPr="00DA3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A5A" w:rsidRDefault="004C0A5A" w:rsidP="004C0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 przedstawionych danych wynika, że tradycyjny podział na różne specjalności </w:t>
      </w:r>
      <w:r w:rsidRPr="00560CA6">
        <w:rPr>
          <w:rFonts w:ascii="Times New Roman" w:eastAsia="Times New Roman" w:hAnsi="Times New Roman" w:cs="Times New Roman"/>
          <w:sz w:val="24"/>
          <w:szCs w:val="24"/>
        </w:rPr>
        <w:t xml:space="preserve">ulegnie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60CA6">
        <w:rPr>
          <w:rFonts w:ascii="Times New Roman" w:eastAsia="Times New Roman" w:hAnsi="Times New Roman" w:cs="Times New Roman"/>
          <w:sz w:val="24"/>
          <w:szCs w:val="24"/>
        </w:rPr>
        <w:t xml:space="preserve"> przyszłości</w:t>
      </w:r>
      <w:r w:rsidRPr="008B05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znacznemu zatarciu. Dodatkowo szereg kompetencji będzie wspólnych dla różnych zawodów. Zawody rynku przyszłości to takie w których pracownik będzie musiał wykazać się kreatywnością, logicznym myśleniem, umiejętnością współpracy z innymi ludźmi i efektywnego zarządzania swoim czasem, a także inteligencją emocjonalną. Postępująca automatyzacja sprawi, że poszukiwani będą specjaliści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inżynierowie programowania oraz sterujący pracą robotów. Do najważniejszych trendów wpływających na sytuację na rynku pracy wymienić należy postępującą globalizację, dynamiczny rozwój nowych technologii, rozwój inteligentnych maszyn i systemów, stale rosnąca średnia wieku i związany z tym coraz dłuższy okres aktywności zawodowej. Źródła wskazują również na </w:t>
      </w:r>
      <w:r w:rsidRPr="002B7AC7">
        <w:rPr>
          <w:rFonts w:ascii="Times New Roman" w:eastAsia="Times New Roman" w:hAnsi="Times New Roman" w:cs="Times New Roman"/>
          <w:sz w:val="24"/>
          <w:szCs w:val="24"/>
        </w:rPr>
        <w:t xml:space="preserve">rozwój </w:t>
      </w:r>
      <w:proofErr w:type="spellStart"/>
      <w:r w:rsidRPr="002B7AC7">
        <w:rPr>
          <w:rFonts w:ascii="Times New Roman" w:eastAsia="Times New Roman" w:hAnsi="Times New Roman" w:cs="Times New Roman"/>
          <w:i/>
          <w:iCs/>
          <w:sz w:val="24"/>
          <w:szCs w:val="24"/>
        </w:rPr>
        <w:t>sharing</w:t>
      </w:r>
      <w:proofErr w:type="spellEnd"/>
      <w:r w:rsidRPr="002B7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B7AC7">
        <w:rPr>
          <w:rFonts w:ascii="Times New Roman" w:eastAsia="Times New Roman" w:hAnsi="Times New Roman" w:cs="Times New Roman"/>
          <w:i/>
          <w:iCs/>
          <w:sz w:val="24"/>
          <w:szCs w:val="24"/>
        </w:rPr>
        <w:t>economy</w:t>
      </w:r>
      <w:proofErr w:type="spellEnd"/>
      <w:r w:rsidRPr="002B7AC7">
        <w:rPr>
          <w:rFonts w:ascii="Times New Roman" w:eastAsia="Times New Roman" w:hAnsi="Times New Roman" w:cs="Times New Roman"/>
          <w:sz w:val="24"/>
          <w:szCs w:val="24"/>
        </w:rPr>
        <w:t>, ekonomii współdzielenia, w tym także pracowników</w:t>
      </w:r>
      <w:r w:rsidRPr="002B7A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4"/>
      </w:r>
      <w:r w:rsidRPr="002B7AC7">
        <w:rPr>
          <w:rFonts w:ascii="Times New Roman" w:eastAsia="Times New Roman" w:hAnsi="Times New Roman" w:cs="Times New Roman"/>
          <w:sz w:val="24"/>
          <w:szCs w:val="24"/>
        </w:rPr>
        <w:t>. Specjaliści przewidują, że</w:t>
      </w:r>
      <w:r w:rsidRPr="008B05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część z istniejących dzisiaj zawodów za kilka lat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prawdopodobnie całkowicie zniknie, a pojawią się dziś nam jeszcze nieznane, zupełnie nowe specjalizacje. </w:t>
      </w:r>
    </w:p>
    <w:p w:rsidR="004C0A5A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Badania prowadzone przez Instytut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McKinsey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McKinsey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wskazują, że na przestrzeni kolejnych 10 lat, czyli do 2030 roku około 15% aktualnie istniejących zawodów przestanie istnieć. Najbardziej zagrożonymi zawodami okazują się być te dotyczące powtarzalnej pracy fizycznej oraz przetwarzania informacji. Z kolei Bank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Światowy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prognozuje,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̇ 57%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zawodów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krajach OECD ulegnie procesowi pełnej automatyzacji. Według raportu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2030” zawody przyszłości już teraz wykonywane są przez 10% osób, aż 70% aktywnych zawodowo będzie musiało zmienić sposób wykonywania swojej profesji, a 20% powinno liczyć się z tym, że ich obowiązki przejmą roboty. Warto tu zauważyć, że wraz ze znikaniem niektórych zawodów pojawią się kolejne związane z cyfryzacją.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5"/>
      </w:r>
    </w:p>
    <w:p w:rsidR="004C0A5A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Pandemia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sprawiła, że proces automatyzacji i cyfryzacji znacznie przyśpieszył i wydaje się, że ten trend będzie się utrzymywał. Dane wynikające z raportu opublikowanego przez Światowe Forum Ekonomiczne wynika, że do 2025 roku czas pracy człowieka będzie identyczny z czasem pracy maszyny, a także 85 milionów miejsc pracy może być zastąpionych między ludźmi a maszynami. Z raportu wynika również, że to człowiek w dalszym ciągu będzie niezastąpiony pod warunkiem posiadania pożądanych kompetencji i umiejętności. Wydaje się więc, że to branże telekomunikacyjna i informatyczna będą tymi, które wygenerują najwięcej miejsc pracy w przyszłości. Ceniona będzie mobilność zawodowa i zdolność szybkiego przekwalifikowania, zwłaszcza że niektóre zawody jeszcze nie istnieją. Niezbędnymi kompetencjami zaś okażą się te, które pozwolą współpracować z maszynami, które zapewnią zawodową mobilność oraz gotowość do szybkiego uczenia się i otwartość na zmiany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0A5A" w:rsidRDefault="004C0A5A" w:rsidP="004C0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wszystko sprawia, że koniecznym wydaje się dostosowanie edukacji do wymagań rynku pracy, a więc wzbogacenia przekazywanych treści o kompetencje cyfrowe. </w:t>
      </w:r>
    </w:p>
    <w:p w:rsidR="004C0A5A" w:rsidRDefault="004C0A5A" w:rsidP="004C0A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Janusz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Morbitzer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książce </w:t>
      </w:r>
      <w:r w:rsidRPr="00BF4933">
        <w:rPr>
          <w:rFonts w:ascii="Times New Roman" w:eastAsia="Times New Roman" w:hAnsi="Times New Roman" w:cs="Times New Roman"/>
          <w:i/>
          <w:sz w:val="24"/>
          <w:szCs w:val="24"/>
        </w:rPr>
        <w:t>Edukacja wspierana komputerowo a humanistyczne wartości pedagogiki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stwierdził, że</w:t>
      </w:r>
    </w:p>
    <w:p w:rsidR="004C0A5A" w:rsidRDefault="004C0A5A" w:rsidP="004C0A5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83A1F">
        <w:rPr>
          <w:rFonts w:ascii="Times New Roman" w:eastAsia="Times New Roman" w:hAnsi="Times New Roman" w:cs="Times New Roman"/>
          <w:i/>
        </w:rPr>
        <w:t>„</w:t>
      </w:r>
      <w:r w:rsidRPr="00483A1F">
        <w:rPr>
          <w:rFonts w:ascii="Times New Roman" w:eastAsia="Times New Roman" w:hAnsi="Times New Roman" w:cs="Times New Roman"/>
        </w:rPr>
        <w:t>[...] element informatyczny będzie stanowił ważną część każdego zawodu, w związku z tym musi on być także istotnym elementem każdego systemu edukacyjnego”</w:t>
      </w:r>
      <w:r w:rsidRPr="00483A1F">
        <w:rPr>
          <w:rFonts w:ascii="Times New Roman" w:eastAsia="Times New Roman" w:hAnsi="Times New Roman" w:cs="Times New Roman"/>
          <w:vertAlign w:val="superscript"/>
        </w:rPr>
        <w:footnoteReference w:id="17"/>
      </w:r>
      <w:r w:rsidRPr="00483A1F">
        <w:rPr>
          <w:rFonts w:ascii="Times New Roman" w:eastAsia="Times New Roman" w:hAnsi="Times New Roman" w:cs="Times New Roman"/>
        </w:rPr>
        <w:t>.</w:t>
      </w:r>
    </w:p>
    <w:p w:rsidR="004C0A5A" w:rsidRPr="00483A1F" w:rsidRDefault="004C0A5A" w:rsidP="004C0A5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C0A5A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Kompetencje przyszłości to takie kompetencje w ramach których człowiek będzie niemożliwy lub trudny do zastąpienia przez maszynę. Zalicza się do nich: </w:t>
      </w:r>
    </w:p>
    <w:p w:rsidR="004C0A5A" w:rsidRPr="00183021" w:rsidRDefault="004C0A5A" w:rsidP="0018302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21">
        <w:rPr>
          <w:rFonts w:ascii="Times New Roman" w:eastAsia="Times New Roman" w:hAnsi="Times New Roman" w:cs="Times New Roman"/>
          <w:sz w:val="24"/>
          <w:szCs w:val="24"/>
        </w:rPr>
        <w:lastRenderedPageBreak/>
        <w:t>kompetencje poznawcze (kompetencje myślenia) - obejmujące procesy logicznego myślenia, rozumowania, kreatywności,</w:t>
      </w:r>
    </w:p>
    <w:p w:rsidR="004C0A5A" w:rsidRPr="00183021" w:rsidRDefault="004C0A5A" w:rsidP="0018302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21">
        <w:rPr>
          <w:rFonts w:ascii="Times New Roman" w:eastAsia="Times New Roman" w:hAnsi="Times New Roman" w:cs="Times New Roman"/>
          <w:sz w:val="24"/>
          <w:szCs w:val="24"/>
        </w:rPr>
        <w:t>kompetencje społeczne dotyczą sfery emocjonalnej, współpracy w grupie, przedsiębiorczości,</w:t>
      </w:r>
    </w:p>
    <w:p w:rsidR="004C0A5A" w:rsidRPr="00183021" w:rsidRDefault="004C0A5A" w:rsidP="0018302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21">
        <w:rPr>
          <w:rFonts w:ascii="Times New Roman" w:eastAsia="Times New Roman" w:hAnsi="Times New Roman" w:cs="Times New Roman"/>
          <w:sz w:val="24"/>
          <w:szCs w:val="24"/>
        </w:rPr>
        <w:t xml:space="preserve">kompetencje techniczne i cyfrowe - w odróżnieniu od powyższych kompetencji miękkich te dotyczą wiedzy, czyli kompetencji twardych. Obejmują wiedzę z zakresu programowania, </w:t>
      </w:r>
      <w:proofErr w:type="spellStart"/>
      <w:r w:rsidRPr="00183021">
        <w:rPr>
          <w:rFonts w:ascii="Times New Roman" w:eastAsia="Times New Roman" w:hAnsi="Times New Roman" w:cs="Times New Roman"/>
          <w:sz w:val="24"/>
          <w:szCs w:val="24"/>
        </w:rPr>
        <w:t>cyberbezpieczeństwo</w:t>
      </w:r>
      <w:proofErr w:type="spellEnd"/>
      <w:r>
        <w:rPr>
          <w:vertAlign w:val="superscript"/>
        </w:rPr>
        <w:footnoteReference w:id="18"/>
      </w:r>
      <w:r w:rsidRPr="00183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A5A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Współczesna szkoła cyfrowa to placówka, która jest dostosowana do tego typu przekazu edukacyjnego, która potrafi zachować balans między światem analogowym i cyfrowym, w której technologie cyfrowe wykorzystywane są wespół z tradycyjnymi narzędziami. Wymaga to zarówno wzbogacenia bazy sprzętowej placówki w odpowiedni sprzęt i oprogramowanie oraz wyposażenia kadry nauczycielskiej w niezbędne kompetencje cyfrowe. Ponadto technologie cyfrowe powinny być stosowane w rozmyślny sposób, a ich stosowanie zawsze uzasadnione. Właściwie zastosowane mogą zwiększyć motywację uczniów oraz stopień ich zaangażowania. Ponadto zakłada się, że cyfryzacja w znaczący sposób przekształci nie tylko samą edukację, ale i pozostałe gałęzie gospodarki. Do wykorzystania już dzisiaj jest:</w:t>
      </w:r>
    </w:p>
    <w:p w:rsidR="004C0A5A" w:rsidRPr="008609EF" w:rsidRDefault="004C0A5A" w:rsidP="004C0A5A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chmury obliczeniowe </w:t>
      </w:r>
      <w:r w:rsidRPr="008609E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8609EF">
        <w:rPr>
          <w:rFonts w:ascii="Times New Roman" w:eastAsia="Times New Roman" w:hAnsi="Times New Roman" w:cs="Times New Roman"/>
          <w:i/>
          <w:sz w:val="24"/>
          <w:szCs w:val="24"/>
        </w:rPr>
        <w:t>loud</w:t>
      </w:r>
      <w:proofErr w:type="spellEnd"/>
      <w:r w:rsidRPr="008609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9EF">
        <w:rPr>
          <w:rFonts w:ascii="Times New Roman" w:eastAsia="Times New Roman" w:hAnsi="Times New Roman" w:cs="Times New Roman"/>
          <w:i/>
          <w:sz w:val="24"/>
          <w:szCs w:val="24"/>
        </w:rPr>
        <w:t>computing</w:t>
      </w:r>
      <w:proofErr w:type="spellEnd"/>
      <w:r w:rsidRPr="008609E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rozumiane jako metoda zdalnego przetwarzania danych, </w:t>
      </w:r>
    </w:p>
    <w:p w:rsidR="004C0A5A" w:rsidRDefault="004C0A5A" w:rsidP="004C0A5A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możliwość pracy w chmurze polegającej na dostępie do dokumentu w sposób zdalny,</w:t>
      </w:r>
    </w:p>
    <w:p w:rsidR="004C0A5A" w:rsidRDefault="004C0A5A" w:rsidP="004C0A5A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sztuczna inteligencja (</w:t>
      </w:r>
      <w:proofErr w:type="spellStart"/>
      <w:r w:rsidRPr="005B0569">
        <w:rPr>
          <w:rFonts w:ascii="Times New Roman" w:eastAsia="Times New Roman" w:hAnsi="Times New Roman" w:cs="Times New Roman"/>
          <w:i/>
          <w:iCs/>
          <w:sz w:val="24"/>
          <w:szCs w:val="24"/>
        </w:rPr>
        <w:t>artificial</w:t>
      </w:r>
      <w:proofErr w:type="spellEnd"/>
      <w:r w:rsidRPr="005B05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0569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AI), która w edukacji znajduje zastosowanie w systemach e-learningowych oraz lekcjach robotyki lub programowania,</w:t>
      </w:r>
    </w:p>
    <w:p w:rsidR="004C0A5A" w:rsidRDefault="004C0A5A" w:rsidP="004C0A5A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sieć 5G, czyli niezwykle szybkie połączenia internetowe umożliwiające rozwój gospodarki opartej na wiedzy,</w:t>
      </w:r>
    </w:p>
    <w:p w:rsidR="004C0A5A" w:rsidRDefault="004C0A5A" w:rsidP="004C0A5A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automatyzacja, która wydaje się być zagrożeniem dla części dzisiejszych zawodów,</w:t>
      </w:r>
    </w:p>
    <w:p w:rsidR="004C0A5A" w:rsidRDefault="004C0A5A" w:rsidP="004C0A5A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zakłada się, że postępująca automatyzacja spowoduje wzrost zapotrzebowania na specjalistów potrafiących  łączyć wiedzę teoretyczną z zastosowaniem technologii cyfrowych. Szacuje się, że w Polsce około 50 % stanowisk pracy ulegnie automatyzacji,</w:t>
      </w:r>
    </w:p>
    <w:p w:rsidR="004C0A5A" w:rsidRDefault="004C0A5A" w:rsidP="004C0A5A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algorytmizacja polegająca na tworzeniu i analizowaniu algorytmów procesów skupionych na osiągnięcie określonego celu. Edukacja XXI wieku powinna więc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organizować zajęcia z kodowania i programowania jako przygotowanie młodych ludzi do pełnego uczestnictwa w społeczeństwie informacyjnym,</w:t>
      </w:r>
    </w:p>
    <w:p w:rsidR="004C0A5A" w:rsidRDefault="004C0A5A" w:rsidP="004C0A5A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 data rozumiane jako ogromne zbiory informacji do których zarządzania potrzebna jest umiejętność analizy, korzystania ze zgromadzonych zbiorów,</w:t>
      </w:r>
    </w:p>
    <w:p w:rsidR="004C0A5A" w:rsidRDefault="004C0A5A" w:rsidP="004C0A5A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Internet rzeczy (Internet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polega na przetwarzaniu, gromadzeniu danych przy wykorzystaniu sieci komputerowej. Zajmują się tym przedmioty, które można w szybki i jednoznaczny sposób adresować (określić)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9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A5A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Powyższe możliwości są tylko jednymi z licznych. Wszystkie one są możliwe do zastosowania w edukacji. W rzeczywistości wydaje się, że najistotniejszą rzeczą jest zadbanie o bezpieczeństwo danych oraz gotowość do ciągłego podnoszenia swoich kompetencji cyfrowych. Współczesny nauczyciel to taki pedagog, który zdaje sobie sprawę z wagi uczenia się przez całe życie i taką postawę przekazuje swoim uczniom i wychowankom. </w:t>
      </w:r>
    </w:p>
    <w:p w:rsidR="004C0A5A" w:rsidRDefault="004C0A5A" w:rsidP="004C0A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Kompetencje cyfrowe wraz z umiejętnościami czytania, pisania, językowymi oraz matematycznymi stanowią trzon umiejętności człowieka żyjącego we współczesnym świecie. W ich skład wchodzą kompetencje informatyczne, które dotyczą umiejętności posługiwania się komputerem, korzystania z różnorodnych aplikacji internetowych, a także innych urządzeń elektronicznych; kompetencje informacyjne polegają na właściwej umiejętności selekcji informacji, jej krytycznej analizie oraz rozumienia; kompetencje funkcjonalne, czyli umiejętność funkcjonalnego wykorzystywania powyższych umiejętności w realnym życiu. </w:t>
      </w:r>
    </w:p>
    <w:p w:rsidR="004C0A5A" w:rsidRDefault="004C0A5A" w:rsidP="004C0A5A">
      <w:pPr>
        <w:spacing w:line="360" w:lineRule="auto"/>
        <w:ind w:firstLine="629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705D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>utorzy</w:t>
      </w:r>
      <w:r w:rsidRPr="00705D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raportu </w:t>
      </w:r>
      <w:proofErr w:type="spellStart"/>
      <w:r w:rsidRPr="00705D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>Eurydice</w:t>
      </w:r>
      <w:proofErr w:type="spellEnd"/>
      <w:r w:rsidRPr="00705D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705D84">
        <w:rPr>
          <w:rFonts w:ascii="Times New Roman" w:eastAsia="Times New Roman" w:hAnsi="Times New Roman" w:cs="Times New Roman"/>
          <w:i/>
          <w:color w:val="040404"/>
          <w:sz w:val="24"/>
          <w:szCs w:val="24"/>
          <w:shd w:val="clear" w:color="auto" w:fill="FFFFFF"/>
        </w:rPr>
        <w:t>Edukacja cyfrowa w Europie</w:t>
      </w:r>
      <w:r w:rsidRPr="00705D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wskazują na dwa </w:t>
      </w:r>
      <w:r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>najważniejsze płaszczyzny</w:t>
      </w:r>
      <w:r w:rsidRPr="00705D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edukacji cyfrowej w szkołach:</w:t>
      </w:r>
      <w:r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705D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>rozwój kompetencji cyfrowych uczniów</w:t>
      </w:r>
      <w:r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i nauczycieli oraz funkcjonalne</w:t>
      </w:r>
      <w:r w:rsidRPr="00705D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wykorzystanie narzędzi informatycznych do wspierania i przekształcania procesu uczenia się i nauczania.</w:t>
      </w:r>
      <w:r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705D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Raport </w:t>
      </w:r>
      <w:r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>dotyczy</w:t>
      </w:r>
      <w:r w:rsidRPr="00705D84">
        <w:rPr>
          <w:rFonts w:ascii="Times New Roman" w:eastAsia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m.in.</w:t>
      </w:r>
    </w:p>
    <w:p w:rsidR="00DA4F2D" w:rsidRPr="00183021" w:rsidRDefault="004C0A5A" w:rsidP="00183021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</w:rPr>
      </w:pPr>
      <w:r w:rsidRPr="00705D84">
        <w:rPr>
          <w:rFonts w:ascii="Times New Roman" w:eastAsia="Times New Roman" w:hAnsi="Times New Roman" w:cs="Times New Roman"/>
          <w:color w:val="040404"/>
          <w:sz w:val="24"/>
          <w:szCs w:val="24"/>
        </w:rPr>
        <w:br/>
      </w:r>
      <w:r w:rsidR="00183021">
        <w:rPr>
          <w:rFonts w:ascii="Times New Roman" w:eastAsia="Times New Roman" w:hAnsi="Times New Roman" w:cs="Times New Roman"/>
          <w:color w:val="040404"/>
        </w:rPr>
        <w:t>„K</w:t>
      </w:r>
      <w:r w:rsidRPr="00B6336A">
        <w:rPr>
          <w:rFonts w:ascii="Times New Roman" w:eastAsia="Times New Roman" w:hAnsi="Times New Roman" w:cs="Times New Roman"/>
          <w:color w:val="040404"/>
        </w:rPr>
        <w:t>ompetencji cyfrowych uczniów i sposobów ich rozwijania oraz oceniania w ramach programów szkolnych, kompetencji cyfrowych nauczycieli, wykorzystania narzędzi informatycznych w kontekście szkolnym, w tym do oceny kompetencji cyfrowych, strategicznego podejścia do edukacji cyfrowej w systemach edukacji poszczególnych krajów i wynikających z niego działań wspierających szkoły.”</w:t>
      </w:r>
      <w:r w:rsidRPr="00B6336A">
        <w:rPr>
          <w:rStyle w:val="Odwoanieprzypisudolnego"/>
          <w:rFonts w:ascii="Times New Roman" w:eastAsia="Times New Roman" w:hAnsi="Times New Roman" w:cs="Times New Roman"/>
          <w:color w:val="040404"/>
        </w:rPr>
        <w:footnoteReference w:id="20"/>
      </w:r>
    </w:p>
    <w:sectPr w:rsidR="00DA4F2D" w:rsidRPr="00183021" w:rsidSect="00C50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13" w:rsidRDefault="00E55513" w:rsidP="004C0A5A">
      <w:pPr>
        <w:spacing w:line="240" w:lineRule="auto"/>
      </w:pPr>
      <w:r>
        <w:separator/>
      </w:r>
    </w:p>
  </w:endnote>
  <w:endnote w:type="continuationSeparator" w:id="0">
    <w:p w:rsidR="00E55513" w:rsidRDefault="00E55513" w:rsidP="004C0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13" w:rsidRDefault="00E55513" w:rsidP="004C0A5A">
      <w:pPr>
        <w:spacing w:line="240" w:lineRule="auto"/>
      </w:pPr>
      <w:r>
        <w:separator/>
      </w:r>
    </w:p>
  </w:footnote>
  <w:footnote w:type="continuationSeparator" w:id="0">
    <w:p w:rsidR="00E55513" w:rsidRDefault="00E55513" w:rsidP="004C0A5A">
      <w:pPr>
        <w:spacing w:line="240" w:lineRule="auto"/>
      </w:pPr>
      <w:r>
        <w:continuationSeparator/>
      </w:r>
    </w:p>
  </w:footnote>
  <w:footnote w:id="1">
    <w:p w:rsidR="004C0A5A" w:rsidRDefault="004C0A5A" w:rsidP="004C0A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M. Furmanek,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Media i multimedia jako środowisko edukacyjno-wychowawcze dziecka,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[w:] </w:t>
      </w:r>
      <w:r w:rsidRPr="00DF1014">
        <w:rPr>
          <w:rFonts w:ascii="Times New Roman" w:eastAsia="Times New Roman" w:hAnsi="Times New Roman" w:cs="Times New Roman"/>
          <w:i/>
          <w:iCs/>
          <w:sz w:val="20"/>
          <w:szCs w:val="20"/>
        </w:rPr>
        <w:t>Dziecko i media elektroniczne - nowy wymiar dzieciństwa. Komputer i Internet w życiu dziecka i obraz jego dzieciństwa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F1014">
        <w:rPr>
          <w:rFonts w:ascii="Times New Roman" w:eastAsia="Times New Roman" w:hAnsi="Times New Roman" w:cs="Times New Roman"/>
          <w:iCs/>
          <w:sz w:val="20"/>
          <w:szCs w:val="20"/>
        </w:rPr>
        <w:t xml:space="preserve"> pod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red. J. Izdebska, T. Sosnowski, Białystok 2005, s.17.</w:t>
      </w:r>
    </w:p>
  </w:footnote>
  <w:footnote w:id="2">
    <w:p w:rsidR="004C0A5A" w:rsidRDefault="004C0A5A" w:rsidP="004C0A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A. Biernacka,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Szkoła i polonistyka w społeczeństwie informacyjnym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[w]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Polonista w szkole. Podstawy wykształcenia nauczyciela polonisty</w:t>
      </w:r>
      <w:r>
        <w:rPr>
          <w:rFonts w:ascii="Times New Roman" w:eastAsia="Times New Roman" w:hAnsi="Times New Roman" w:cs="Times New Roman"/>
          <w:sz w:val="20"/>
          <w:szCs w:val="20"/>
        </w:rPr>
        <w:t>, pod red. A. Janus-Sitarz, Kraków 2004, s. 278.</w:t>
      </w:r>
    </w:p>
  </w:footnote>
  <w:footnote w:id="3">
    <w:p w:rsidR="004C0A5A" w:rsidRPr="00CB6FF5" w:rsidRDefault="004C0A5A" w:rsidP="004C0A5A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B43BD9">
        <w:rPr>
          <w:lang w:val="en-US"/>
        </w:rPr>
        <w:t xml:space="preserve"> </w:t>
      </w:r>
      <w:proofErr w:type="spellStart"/>
      <w:r w:rsidRPr="00B43BD9">
        <w:rPr>
          <w:rFonts w:ascii="Times New Roman" w:hAnsi="Times New Roman"/>
          <w:lang w:val="en-US"/>
        </w:rPr>
        <w:t>Redecker</w:t>
      </w:r>
      <w:proofErr w:type="spellEnd"/>
      <w:r w:rsidRPr="00B43BD9">
        <w:rPr>
          <w:rFonts w:ascii="Times New Roman" w:hAnsi="Times New Roman"/>
          <w:lang w:val="en-US"/>
        </w:rPr>
        <w:t xml:space="preserve">,  C.  (2017).  European  Framework  for  the  Digital  Competence  of  Educators: </w:t>
      </w:r>
      <w:proofErr w:type="spellStart"/>
      <w:r w:rsidRPr="00B43BD9">
        <w:rPr>
          <w:rFonts w:ascii="Times New Roman" w:hAnsi="Times New Roman"/>
          <w:lang w:val="en-US"/>
        </w:rPr>
        <w:t>DigCompEdu</w:t>
      </w:r>
      <w:proofErr w:type="spellEnd"/>
      <w:r w:rsidRPr="00B43BD9">
        <w:rPr>
          <w:rFonts w:ascii="Times New Roman" w:hAnsi="Times New Roman"/>
          <w:lang w:val="en-US"/>
        </w:rPr>
        <w:t xml:space="preserve">.  JRC  Working  Papers  JRC107466.  </w:t>
      </w:r>
      <w:hyperlink r:id="rId1" w:history="1">
        <w:r w:rsidRPr="00CB6FF5">
          <w:rPr>
            <w:rStyle w:val="Hipercze"/>
            <w:rFonts w:ascii="Times New Roman" w:hAnsi="Times New Roman"/>
            <w:lang w:val="en-US"/>
          </w:rPr>
          <w:t>https://ec.eu-ropa.eu/jrc/sites/jrcsh/files/digcompedu_leaflet_en-2017-10-09.pdf</w:t>
        </w:r>
      </w:hyperlink>
      <w:r w:rsidRPr="00CB6FF5">
        <w:rPr>
          <w:rFonts w:ascii="Times New Roman" w:hAnsi="Times New Roman"/>
          <w:lang w:val="en-US"/>
        </w:rPr>
        <w:t xml:space="preserve"> [</w:t>
      </w:r>
      <w:proofErr w:type="spellStart"/>
      <w:r w:rsidRPr="00CB6FF5">
        <w:rPr>
          <w:rFonts w:ascii="Times New Roman" w:hAnsi="Times New Roman"/>
          <w:lang w:val="en-US"/>
        </w:rPr>
        <w:t>dostęp</w:t>
      </w:r>
      <w:proofErr w:type="spellEnd"/>
      <w:r>
        <w:rPr>
          <w:rFonts w:ascii="Times New Roman" w:hAnsi="Times New Roman"/>
          <w:lang w:val="en-US"/>
        </w:rPr>
        <w:t>:</w:t>
      </w:r>
      <w:r w:rsidRPr="00CB6FF5">
        <w:rPr>
          <w:rFonts w:ascii="Times New Roman" w:hAnsi="Times New Roman"/>
          <w:lang w:val="en-US"/>
        </w:rPr>
        <w:t xml:space="preserve"> 24.04.2022]</w:t>
      </w:r>
      <w:r>
        <w:rPr>
          <w:rFonts w:ascii="Times New Roman" w:hAnsi="Times New Roman"/>
          <w:lang w:val="en-US"/>
        </w:rPr>
        <w:t>.</w:t>
      </w:r>
    </w:p>
  </w:footnote>
  <w:footnote w:id="4">
    <w:p w:rsidR="004C0A5A" w:rsidRPr="00426F9C" w:rsidRDefault="004C0A5A" w:rsidP="004C0A5A">
      <w:pPr>
        <w:pStyle w:val="Tekstprzypisudolnego"/>
        <w:jc w:val="both"/>
        <w:rPr>
          <w:rFonts w:ascii="Times New Roman" w:hAnsi="Times New Roman"/>
        </w:rPr>
      </w:pPr>
      <w:r w:rsidRPr="00426F9C">
        <w:rPr>
          <w:rStyle w:val="Odwoanieprzypisudolnego"/>
          <w:rFonts w:ascii="Times New Roman" w:hAnsi="Times New Roman"/>
        </w:rPr>
        <w:footnoteRef/>
      </w:r>
      <w:r w:rsidRPr="00426F9C">
        <w:rPr>
          <w:rFonts w:ascii="Times New Roman" w:hAnsi="Times New Roman"/>
        </w:rPr>
        <w:t xml:space="preserve"> G. Ptaszek, G.D. </w:t>
      </w:r>
      <w:proofErr w:type="spellStart"/>
      <w:r w:rsidRPr="00426F9C">
        <w:rPr>
          <w:rFonts w:ascii="Times New Roman" w:hAnsi="Times New Roman"/>
        </w:rPr>
        <w:t>Stunża</w:t>
      </w:r>
      <w:proofErr w:type="spellEnd"/>
      <w:r w:rsidRPr="00426F9C">
        <w:rPr>
          <w:rFonts w:ascii="Times New Roman" w:hAnsi="Times New Roman"/>
        </w:rPr>
        <w:t xml:space="preserve">, J. </w:t>
      </w:r>
      <w:proofErr w:type="spellStart"/>
      <w:r w:rsidRPr="00426F9C">
        <w:rPr>
          <w:rFonts w:ascii="Times New Roman" w:hAnsi="Times New Roman"/>
        </w:rPr>
        <w:t>Pyżalski</w:t>
      </w:r>
      <w:proofErr w:type="spellEnd"/>
      <w:r w:rsidRPr="00426F9C">
        <w:rPr>
          <w:rFonts w:ascii="Times New Roman" w:hAnsi="Times New Roman"/>
        </w:rPr>
        <w:t xml:space="preserve">, M. Dębski, M. Bigaj, Edukacja zdalna: co stało się  z  uczniami,  ich  rodzicami  i  nauczycielami?  Gdańsk 2020. </w:t>
      </w:r>
    </w:p>
  </w:footnote>
  <w:footnote w:id="5">
    <w:p w:rsidR="004C0A5A" w:rsidRDefault="004C0A5A" w:rsidP="004C0A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26F9C">
        <w:rPr>
          <w:rFonts w:ascii="Times New Roman" w:hAnsi="Times New Roman"/>
        </w:rPr>
        <w:t xml:space="preserve">J. </w:t>
      </w:r>
      <w:proofErr w:type="spellStart"/>
      <w:r w:rsidRPr="00426F9C">
        <w:rPr>
          <w:rFonts w:ascii="Times New Roman" w:hAnsi="Times New Roman"/>
        </w:rPr>
        <w:t>Pyżalski</w:t>
      </w:r>
      <w:proofErr w:type="spellEnd"/>
      <w:r w:rsidRPr="00426F9C">
        <w:rPr>
          <w:rFonts w:ascii="Times New Roman" w:hAnsi="Times New Roman"/>
        </w:rPr>
        <w:t>, N. Walter, Edukacja zdalna w czasie pandemii COVID-19 w Polsce– mapa głównych szans i zagrożeń. Przegląd i omówienie wyników najważniejszych badan związanych z kryzysową edukacją zdalną w Polsce,https://webcache.googleusercontent.com/search?q=cache:lFtKq7Iv-oJ:https://operon.pl/Edukacja_zdalna_w_czasie_pandemii_COVID-19.pdf+&amp;cd=2&amp;hl=pl&amp;ct=clnk&amp;gl=pl [dostęp</w:t>
      </w:r>
      <w:r>
        <w:rPr>
          <w:rFonts w:ascii="Times New Roman" w:hAnsi="Times New Roman"/>
        </w:rPr>
        <w:t>:</w:t>
      </w:r>
      <w:r w:rsidRPr="00426F9C">
        <w:rPr>
          <w:rFonts w:ascii="Times New Roman" w:hAnsi="Times New Roman"/>
        </w:rPr>
        <w:t xml:space="preserve"> 24.04.2022]</w:t>
      </w:r>
      <w:r>
        <w:rPr>
          <w:rFonts w:ascii="Times New Roman" w:hAnsi="Times New Roman"/>
        </w:rPr>
        <w:t>.</w:t>
      </w:r>
    </w:p>
  </w:footnote>
  <w:footnote w:id="6">
    <w:p w:rsidR="004C0A5A" w:rsidRDefault="004C0A5A" w:rsidP="004C0A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 w:rsidRPr="00DF1014">
        <w:rPr>
          <w:rFonts w:ascii="Times New Roman" w:eastAsia="Times New Roman" w:hAnsi="Times New Roman" w:cs="Times New Roman"/>
          <w:i/>
          <w:iCs/>
          <w:sz w:val="20"/>
          <w:szCs w:val="20"/>
        </w:rPr>
        <w:t>Kompetencje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[hasło w:] 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https://sjp.pwn.pl/slowniki/kompetencje.html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28.08.2021].</w:t>
      </w:r>
    </w:p>
  </w:footnote>
  <w:footnote w:id="7">
    <w:p w:rsidR="004C0A5A" w:rsidRDefault="004C0A5A" w:rsidP="004C0A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Zalecenie Parlamentu Europejskiego i Rady z dnia 18 grudnia 2006r. w sprawie kompetencji kluczowych w procesie uczenia się przez całe życie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(2006/962/WE), </w:t>
      </w:r>
      <w:hyperlink r:id="rId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www.eur-lex.europa.eu/legal-content/pl/TXT/PDF/?uri=CELEX:32006H0962&amp;from=pl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28.08.2021].</w:t>
      </w:r>
    </w:p>
  </w:footnote>
  <w:footnote w:id="8">
    <w:p w:rsidR="004C0A5A" w:rsidRDefault="004C0A5A" w:rsidP="004C0A5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Wobalis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Nowe media i technologie cyfrowe w kształceniu polonistów, </w:t>
      </w:r>
      <w:r>
        <w:rPr>
          <w:rFonts w:ascii="Times New Roman" w:eastAsia="Times New Roman" w:hAnsi="Times New Roman" w:cs="Times New Roman"/>
          <w:sz w:val="20"/>
          <w:szCs w:val="20"/>
        </w:rPr>
        <w:t>Poznań 2017, s. 84.</w:t>
      </w:r>
    </w:p>
  </w:footnote>
  <w:footnote w:id="9">
    <w:p w:rsidR="004C0A5A" w:rsidRDefault="004C0A5A" w:rsidP="004C0A5A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kompetencjach przyszłości, wyzwaniach współczesnej edukacji, kompetencjach cyfrowych oraz kompetencjach społecznych nauczycieli szerzej w publikacji: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Kompetencje przyszłości</w:t>
      </w:r>
      <w:r>
        <w:rPr>
          <w:rFonts w:ascii="Times New Roman" w:eastAsia="Times New Roman" w:hAnsi="Times New Roman" w:cs="Times New Roman"/>
          <w:sz w:val="20"/>
          <w:szCs w:val="20"/>
        </w:rPr>
        <w:t>, Stefana M. Kwiatkowskiego, Warszawa 2020.</w:t>
      </w:r>
      <w:r>
        <w:rPr>
          <w:sz w:val="20"/>
          <w:szCs w:val="20"/>
        </w:rPr>
        <w:t xml:space="preserve"> </w:t>
      </w:r>
    </w:p>
  </w:footnote>
  <w:footnote w:id="10">
    <w:p w:rsidR="004C0A5A" w:rsidRPr="00EA6DE7" w:rsidRDefault="004C0A5A" w:rsidP="004C0A5A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A6DE7">
        <w:rPr>
          <w:rFonts w:ascii="Times New Roman" w:eastAsia="Times New Roman" w:hAnsi="Times New Roman" w:cs="Times New Roman"/>
          <w:sz w:val="20"/>
          <w:szCs w:val="20"/>
        </w:rPr>
        <w:t xml:space="preserve">W. Kopaliński, </w:t>
      </w:r>
      <w:r w:rsidRPr="00EA6DE7">
        <w:rPr>
          <w:rFonts w:ascii="Times New Roman" w:eastAsia="Times New Roman" w:hAnsi="Times New Roman" w:cs="Times New Roman"/>
          <w:i/>
          <w:sz w:val="20"/>
          <w:szCs w:val="20"/>
        </w:rPr>
        <w:t>Słownik wyrazów obcych i zwrotów obcojęzycznych z almanachem</w:t>
      </w:r>
      <w:r w:rsidRPr="00EA6DE7">
        <w:rPr>
          <w:rFonts w:ascii="Times New Roman" w:eastAsia="Times New Roman" w:hAnsi="Times New Roman" w:cs="Times New Roman"/>
          <w:sz w:val="20"/>
          <w:szCs w:val="20"/>
        </w:rPr>
        <w:t>, Warszawa 1999, s.270.</w:t>
      </w:r>
    </w:p>
  </w:footnote>
  <w:footnote w:id="11">
    <w:p w:rsidR="004C0A5A" w:rsidRPr="00DE5097" w:rsidRDefault="004C0A5A" w:rsidP="004C0A5A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EA6DE7">
        <w:rPr>
          <w:rFonts w:ascii="Times New Roman" w:eastAsia="Times New Roman" w:hAnsi="Times New Roman" w:cs="Times New Roman"/>
          <w:sz w:val="20"/>
          <w:szCs w:val="20"/>
        </w:rPr>
        <w:t xml:space="preserve">W. Strykowski, </w:t>
      </w:r>
      <w:r w:rsidRPr="00EA6DE7">
        <w:rPr>
          <w:rFonts w:ascii="Times New Roman" w:eastAsia="Times New Roman" w:hAnsi="Times New Roman" w:cs="Times New Roman"/>
          <w:i/>
          <w:sz w:val="20"/>
          <w:szCs w:val="20"/>
        </w:rPr>
        <w:t>Kompetencje medialne, pojęcie, obszary, formy kształcenia</w:t>
      </w:r>
      <w:r w:rsidRPr="00EA6DE7">
        <w:rPr>
          <w:rFonts w:ascii="Times New Roman" w:eastAsia="Times New Roman" w:hAnsi="Times New Roman" w:cs="Times New Roman"/>
          <w:sz w:val="20"/>
          <w:szCs w:val="20"/>
        </w:rPr>
        <w:t>, [w:] W. Strykowski, W. Skrzydlewski (red.), Kompetencje medialne społeczeństwa wiedzy, Poznań 2004, s. 31.</w:t>
      </w:r>
    </w:p>
  </w:footnote>
  <w:footnote w:id="12">
    <w:p w:rsidR="004C0A5A" w:rsidRPr="00DE5097" w:rsidRDefault="004C0A5A" w:rsidP="004C0A5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509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E5097">
        <w:rPr>
          <w:rFonts w:ascii="Times New Roman" w:hAnsi="Times New Roman" w:cs="Times New Roman"/>
          <w:sz w:val="20"/>
          <w:szCs w:val="20"/>
        </w:rPr>
        <w:t xml:space="preserve"> </w:t>
      </w:r>
      <w:r w:rsidRPr="00DE5097"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  <w:proofErr w:type="spellStart"/>
      <w:r w:rsidRPr="00DE5097">
        <w:rPr>
          <w:rFonts w:ascii="Times New Roman" w:eastAsia="Times New Roman" w:hAnsi="Times New Roman" w:cs="Times New Roman"/>
          <w:sz w:val="20"/>
          <w:szCs w:val="20"/>
        </w:rPr>
        <w:t>Czerepaniak</w:t>
      </w:r>
      <w:proofErr w:type="spellEnd"/>
      <w:r w:rsidRPr="00DE5097">
        <w:rPr>
          <w:rFonts w:ascii="Times New Roman" w:eastAsia="Times New Roman" w:hAnsi="Times New Roman" w:cs="Times New Roman"/>
          <w:sz w:val="20"/>
          <w:szCs w:val="20"/>
        </w:rPr>
        <w:t xml:space="preserve">-Walczak, </w:t>
      </w:r>
      <w:r w:rsidRPr="00DE5097">
        <w:rPr>
          <w:rFonts w:ascii="Times New Roman" w:eastAsia="Times New Roman" w:hAnsi="Times New Roman" w:cs="Times New Roman"/>
          <w:i/>
          <w:sz w:val="20"/>
          <w:szCs w:val="20"/>
        </w:rPr>
        <w:t>Kompetencja: słowo kluczowe czy „wytrych” w edukacji</w:t>
      </w:r>
      <w:r w:rsidRPr="00DE5097">
        <w:rPr>
          <w:rFonts w:ascii="Times New Roman" w:eastAsia="Times New Roman" w:hAnsi="Times New Roman" w:cs="Times New Roman"/>
          <w:sz w:val="20"/>
          <w:szCs w:val="20"/>
        </w:rPr>
        <w:t>?, „</w:t>
      </w:r>
      <w:proofErr w:type="spellStart"/>
      <w:r w:rsidRPr="00DE5097">
        <w:rPr>
          <w:rFonts w:ascii="Times New Roman" w:eastAsia="Times New Roman" w:hAnsi="Times New Roman" w:cs="Times New Roman"/>
          <w:sz w:val="20"/>
          <w:szCs w:val="20"/>
        </w:rPr>
        <w:t>Neodidagmata</w:t>
      </w:r>
      <w:proofErr w:type="spellEnd"/>
      <w:r w:rsidRPr="00DE5097">
        <w:rPr>
          <w:rFonts w:ascii="Times New Roman" w:eastAsia="Times New Roman" w:hAnsi="Times New Roman" w:cs="Times New Roman"/>
          <w:sz w:val="20"/>
          <w:szCs w:val="20"/>
        </w:rPr>
        <w:t>” XXIV, s. 60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0A5A" w:rsidRDefault="004C0A5A" w:rsidP="004C0A5A">
      <w:pPr>
        <w:pStyle w:val="Tekstprzypisudolnego"/>
      </w:pPr>
    </w:p>
  </w:footnote>
  <w:footnote w:id="13">
    <w:p w:rsidR="004C0A5A" w:rsidRPr="00036292" w:rsidRDefault="004C0A5A" w:rsidP="004C0A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29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36292">
        <w:rPr>
          <w:rFonts w:ascii="Times New Roman" w:hAnsi="Times New Roman" w:cs="Times New Roman"/>
          <w:sz w:val="20"/>
          <w:szCs w:val="20"/>
        </w:rPr>
        <w:t xml:space="preserve"> M. </w:t>
      </w:r>
      <w:r w:rsidRPr="00036292">
        <w:rPr>
          <w:rFonts w:ascii="Times New Roman" w:eastAsia="Times New Roman" w:hAnsi="Times New Roman" w:cs="Times New Roman"/>
          <w:sz w:val="20"/>
          <w:szCs w:val="20"/>
        </w:rPr>
        <w:t xml:space="preserve">Plebańska, A. </w:t>
      </w:r>
      <w:proofErr w:type="spellStart"/>
      <w:r w:rsidRPr="00036292">
        <w:rPr>
          <w:rFonts w:ascii="Times New Roman" w:eastAsia="Times New Roman" w:hAnsi="Times New Roman" w:cs="Times New Roman"/>
          <w:sz w:val="20"/>
          <w:szCs w:val="20"/>
        </w:rPr>
        <w:t>Szyller</w:t>
      </w:r>
      <w:proofErr w:type="spellEnd"/>
      <w:r w:rsidRPr="00036292">
        <w:rPr>
          <w:rFonts w:ascii="Times New Roman" w:eastAsia="Times New Roman" w:hAnsi="Times New Roman" w:cs="Times New Roman"/>
          <w:sz w:val="20"/>
          <w:szCs w:val="20"/>
        </w:rPr>
        <w:t xml:space="preserve">,  M. </w:t>
      </w:r>
      <w:proofErr w:type="spellStart"/>
      <w:r w:rsidRPr="00036292">
        <w:rPr>
          <w:rFonts w:ascii="Times New Roman" w:eastAsia="Times New Roman" w:hAnsi="Times New Roman" w:cs="Times New Roman"/>
          <w:sz w:val="20"/>
          <w:szCs w:val="20"/>
        </w:rPr>
        <w:t>Sieńczewska</w:t>
      </w:r>
      <w:proofErr w:type="spellEnd"/>
      <w:r w:rsidRPr="0003629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36292">
        <w:rPr>
          <w:rFonts w:ascii="Times New Roman" w:eastAsia="Times New Roman" w:hAnsi="Times New Roman" w:cs="Times New Roman"/>
          <w:i/>
          <w:sz w:val="20"/>
          <w:szCs w:val="20"/>
        </w:rPr>
        <w:t xml:space="preserve">Q edukacji cyfrowej, </w:t>
      </w:r>
      <w:r w:rsidRPr="00036292">
        <w:rPr>
          <w:rFonts w:ascii="Times New Roman" w:eastAsia="Times New Roman" w:hAnsi="Times New Roman" w:cs="Times New Roman"/>
          <w:sz w:val="20"/>
          <w:szCs w:val="20"/>
        </w:rPr>
        <w:t>Warszawa 2020, s.17-18.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Zob</w:t>
      </w:r>
      <w:r w:rsidRPr="00B11AB4">
        <w:rPr>
          <w:rFonts w:ascii="Times New Roman" w:eastAsia="Times New Roman" w:hAnsi="Times New Roman" w:cs="Times New Roman"/>
          <w:i/>
          <w:sz w:val="20"/>
          <w:szCs w:val="20"/>
        </w:rPr>
        <w:t>. Praca i kompetencje przyszłości. Najważniejsze wnioski z raportu Światowego Forum Gospodarczego-THE FUTURE OF JOBS REPORT OCTOBER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4" w:history="1">
        <w:r w:rsidRPr="00DA5B7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https://www.umcs.pl/pl/badania-i-raporty,13192,praca-i-kompetencje-przyszlosci-wnioski-z-raportu-swiatowego-forum-ekonomicznego-2020,100615.chtm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[dostęp: 26.04.2022]</w:t>
      </w:r>
      <w:r w:rsidRPr="00CB6FF5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14">
    <w:p w:rsidR="004C0A5A" w:rsidRPr="00BF4933" w:rsidRDefault="004C0A5A" w:rsidP="004C0A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629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hyperlink r:id="rId5" w:history="1">
        <w:r w:rsidRPr="00BF4933">
          <w:rPr>
            <w:rStyle w:val="Hipercze"/>
            <w:rFonts w:ascii="Times New Roman" w:hAnsi="Times New Roman" w:cs="Times New Roman"/>
            <w:sz w:val="20"/>
            <w:szCs w:val="20"/>
          </w:rPr>
          <w:t>https://serwis-uslugirozwojowe.parp.gov.pl/component/content/article/73481:swiat-sie-zmienia-jakich-kompetencji-bedziemy-potrzebowali-w-przyszlosci</w:t>
        </w:r>
      </w:hyperlink>
      <w:r w:rsidRPr="00BF4933">
        <w:rPr>
          <w:rFonts w:ascii="Times New Roman" w:hAnsi="Times New Roman" w:cs="Times New Roman"/>
          <w:sz w:val="20"/>
          <w:szCs w:val="20"/>
        </w:rPr>
        <w:t xml:space="preserve"> [dostęp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BF4933">
        <w:rPr>
          <w:rFonts w:ascii="Times New Roman" w:hAnsi="Times New Roman" w:cs="Times New Roman"/>
          <w:sz w:val="20"/>
          <w:szCs w:val="20"/>
        </w:rPr>
        <w:t xml:space="preserve"> 24.04.2022]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5">
    <w:p w:rsidR="004C0A5A" w:rsidRPr="00BF4933" w:rsidRDefault="004C0A5A" w:rsidP="004C0A5A">
      <w:pPr>
        <w:pStyle w:val="Tekstprzypisudolnego"/>
        <w:jc w:val="both"/>
        <w:rPr>
          <w:rFonts w:ascii="Times New Roman" w:hAnsi="Times New Roman"/>
        </w:rPr>
      </w:pPr>
      <w:r w:rsidRPr="00BF4933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>Ibidem.</w:t>
      </w:r>
    </w:p>
  </w:footnote>
  <w:footnote w:id="16">
    <w:p w:rsidR="004C0A5A" w:rsidRPr="005B0569" w:rsidRDefault="004C0A5A" w:rsidP="004C0A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493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F4933">
        <w:rPr>
          <w:rFonts w:ascii="Times New Roman" w:hAnsi="Times New Roman" w:cs="Times New Roman"/>
          <w:sz w:val="20"/>
          <w:szCs w:val="20"/>
        </w:rPr>
        <w:t>Ibidem.</w:t>
      </w:r>
    </w:p>
  </w:footnote>
  <w:footnote w:id="17">
    <w:p w:rsidR="004C0A5A" w:rsidRDefault="004C0A5A" w:rsidP="004C0A5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056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5B0569">
        <w:rPr>
          <w:rFonts w:ascii="Times New Roman" w:hAnsi="Times New Roman" w:cs="Times New Roman"/>
          <w:sz w:val="20"/>
          <w:szCs w:val="20"/>
        </w:rPr>
        <w:t xml:space="preserve"> </w:t>
      </w:r>
      <w:r w:rsidRPr="005B0569">
        <w:rPr>
          <w:rFonts w:ascii="Times New Roman" w:eastAsia="Times New Roman" w:hAnsi="Times New Roman" w:cs="Times New Roman"/>
          <w:sz w:val="20"/>
          <w:szCs w:val="20"/>
        </w:rPr>
        <w:t xml:space="preserve">J. </w:t>
      </w:r>
      <w:proofErr w:type="spellStart"/>
      <w:r w:rsidRPr="005B0569">
        <w:rPr>
          <w:rFonts w:ascii="Times New Roman" w:eastAsia="Times New Roman" w:hAnsi="Times New Roman" w:cs="Times New Roman"/>
          <w:sz w:val="20"/>
          <w:szCs w:val="20"/>
        </w:rPr>
        <w:t>Morbitzer</w:t>
      </w:r>
      <w:proofErr w:type="spellEnd"/>
      <w:r w:rsidRPr="005B05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B0569">
        <w:rPr>
          <w:rFonts w:ascii="Times New Roman" w:eastAsia="Times New Roman" w:hAnsi="Times New Roman" w:cs="Times New Roman"/>
          <w:i/>
          <w:sz w:val="20"/>
          <w:szCs w:val="20"/>
        </w:rPr>
        <w:t>Edukacja wspierana komputerowo a humanistyczne wartości pedagogiki,</w:t>
      </w:r>
      <w:r w:rsidRPr="005B0569">
        <w:rPr>
          <w:rFonts w:ascii="Times New Roman" w:eastAsia="Times New Roman" w:hAnsi="Times New Roman" w:cs="Times New Roman"/>
          <w:sz w:val="20"/>
          <w:szCs w:val="20"/>
        </w:rPr>
        <w:t xml:space="preserve"> Kraków 2007.</w:t>
      </w:r>
    </w:p>
  </w:footnote>
  <w:footnote w:id="18">
    <w:p w:rsidR="004C0A5A" w:rsidRDefault="004C0A5A" w:rsidP="004C0A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Kompetencje przyszłości w czasach cyfrowej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dysrupcji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 Studium wyzwań dla Polski w perspektywie roku 2030</w:t>
      </w:r>
      <w:r>
        <w:rPr>
          <w:rFonts w:ascii="Times New Roman" w:eastAsia="Times New Roman" w:hAnsi="Times New Roman" w:cs="Times New Roman"/>
          <w:sz w:val="20"/>
          <w:szCs w:val="20"/>
        </w:rPr>
        <w:t>, red. K. Głomb, Warszawa 2019.</w:t>
      </w:r>
    </w:p>
  </w:footnote>
  <w:footnote w:id="19">
    <w:p w:rsidR="004C0A5A" w:rsidRDefault="004C0A5A" w:rsidP="004C0A5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Morańska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M. Ciesielka, M.Z.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Jędrzejko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Edukacja w cyfrowym świecie... </w:t>
      </w:r>
      <w:r>
        <w:rPr>
          <w:rFonts w:ascii="Times New Roman" w:eastAsia="Times New Roman" w:hAnsi="Times New Roman" w:cs="Times New Roman"/>
          <w:sz w:val="20"/>
          <w:szCs w:val="20"/>
        </w:rPr>
        <w:t>op. cit., s. 21-22.</w:t>
      </w:r>
    </w:p>
  </w:footnote>
  <w:footnote w:id="20">
    <w:p w:rsidR="004C0A5A" w:rsidRDefault="004C0A5A" w:rsidP="004C0A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33DA7">
        <w:rPr>
          <w:rFonts w:ascii="Times New Roman" w:hAnsi="Times New Roman"/>
        </w:rPr>
        <w:t>https://eurydice.org.pl/publikacja/edukacja-cyfrowa-w-szkolach-w-europie/ [dostęp</w:t>
      </w:r>
      <w:r>
        <w:rPr>
          <w:rFonts w:ascii="Times New Roman" w:hAnsi="Times New Roman"/>
        </w:rPr>
        <w:t>:</w:t>
      </w:r>
      <w:r w:rsidRPr="00233DA7">
        <w:rPr>
          <w:rFonts w:ascii="Times New Roman" w:hAnsi="Times New Roman"/>
        </w:rPr>
        <w:t xml:space="preserve"> 24.04.2022]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387176"/>
      <w:docPartObj>
        <w:docPartGallery w:val="Page Numbers (Top of Page)"/>
        <w:docPartUnique/>
      </w:docPartObj>
    </w:sdtPr>
    <w:sdtContent>
      <w:p w:rsidR="00295609" w:rsidRDefault="0029560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486">
          <w:rPr>
            <w:noProof/>
          </w:rPr>
          <w:t>7</w:t>
        </w:r>
        <w:r>
          <w:fldChar w:fldCharType="end"/>
        </w:r>
      </w:p>
    </w:sdtContent>
  </w:sdt>
  <w:p w:rsidR="00295609" w:rsidRDefault="002956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187"/>
    <w:multiLevelType w:val="multilevel"/>
    <w:tmpl w:val="2ACE9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702747"/>
    <w:multiLevelType w:val="multilevel"/>
    <w:tmpl w:val="2B70B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58015C"/>
    <w:multiLevelType w:val="multilevel"/>
    <w:tmpl w:val="BC8CD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222551"/>
    <w:multiLevelType w:val="hybridMultilevel"/>
    <w:tmpl w:val="98BC0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504F"/>
    <w:multiLevelType w:val="multilevel"/>
    <w:tmpl w:val="5B261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931150"/>
    <w:multiLevelType w:val="hybridMultilevel"/>
    <w:tmpl w:val="CCC0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2A60"/>
    <w:multiLevelType w:val="hybridMultilevel"/>
    <w:tmpl w:val="C936CAC0"/>
    <w:lvl w:ilvl="0" w:tplc="603449F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F5931"/>
    <w:multiLevelType w:val="multilevel"/>
    <w:tmpl w:val="0F101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99558A"/>
    <w:multiLevelType w:val="multilevel"/>
    <w:tmpl w:val="C27484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6CE783F"/>
    <w:multiLevelType w:val="multilevel"/>
    <w:tmpl w:val="A6101D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8DF2A10"/>
    <w:multiLevelType w:val="multilevel"/>
    <w:tmpl w:val="DABA95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5106C47"/>
    <w:multiLevelType w:val="multilevel"/>
    <w:tmpl w:val="4ECA3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AC705B"/>
    <w:multiLevelType w:val="multilevel"/>
    <w:tmpl w:val="2B06F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D169A4"/>
    <w:multiLevelType w:val="multilevel"/>
    <w:tmpl w:val="30466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46660C"/>
    <w:multiLevelType w:val="hybridMultilevel"/>
    <w:tmpl w:val="58787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041C1"/>
    <w:multiLevelType w:val="multilevel"/>
    <w:tmpl w:val="87986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D51B2E"/>
    <w:multiLevelType w:val="multilevel"/>
    <w:tmpl w:val="B34E6A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A962C66"/>
    <w:multiLevelType w:val="hybridMultilevel"/>
    <w:tmpl w:val="D8781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46180"/>
    <w:multiLevelType w:val="multilevel"/>
    <w:tmpl w:val="4E404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E6C291F"/>
    <w:multiLevelType w:val="multilevel"/>
    <w:tmpl w:val="886E82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F371128"/>
    <w:multiLevelType w:val="hybridMultilevel"/>
    <w:tmpl w:val="D57CA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A5B90"/>
    <w:multiLevelType w:val="hybridMultilevel"/>
    <w:tmpl w:val="AB0E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5BD2"/>
    <w:multiLevelType w:val="multilevel"/>
    <w:tmpl w:val="7E96DD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61336C6"/>
    <w:multiLevelType w:val="multilevel"/>
    <w:tmpl w:val="375C3D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A2C603B"/>
    <w:multiLevelType w:val="hybridMultilevel"/>
    <w:tmpl w:val="2B3CE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D1986"/>
    <w:multiLevelType w:val="multilevel"/>
    <w:tmpl w:val="D5907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FB95E9B"/>
    <w:multiLevelType w:val="multilevel"/>
    <w:tmpl w:val="502409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10E6651"/>
    <w:multiLevelType w:val="multilevel"/>
    <w:tmpl w:val="F1CCA8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19A6822"/>
    <w:multiLevelType w:val="multilevel"/>
    <w:tmpl w:val="594E65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78F47C59"/>
    <w:multiLevelType w:val="multilevel"/>
    <w:tmpl w:val="514A0C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CD12B76"/>
    <w:multiLevelType w:val="multilevel"/>
    <w:tmpl w:val="25C086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7D767C1F"/>
    <w:multiLevelType w:val="multilevel"/>
    <w:tmpl w:val="2E6AE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DB97397"/>
    <w:multiLevelType w:val="multilevel"/>
    <w:tmpl w:val="4CE44B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3"/>
  </w:num>
  <w:num w:numId="2">
    <w:abstractNumId w:val="32"/>
  </w:num>
  <w:num w:numId="3">
    <w:abstractNumId w:val="10"/>
  </w:num>
  <w:num w:numId="4">
    <w:abstractNumId w:val="7"/>
  </w:num>
  <w:num w:numId="5">
    <w:abstractNumId w:val="28"/>
  </w:num>
  <w:num w:numId="6">
    <w:abstractNumId w:val="18"/>
  </w:num>
  <w:num w:numId="7">
    <w:abstractNumId w:val="30"/>
  </w:num>
  <w:num w:numId="8">
    <w:abstractNumId w:val="19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29"/>
  </w:num>
  <w:num w:numId="16">
    <w:abstractNumId w:val="9"/>
  </w:num>
  <w:num w:numId="17">
    <w:abstractNumId w:val="25"/>
  </w:num>
  <w:num w:numId="18">
    <w:abstractNumId w:val="8"/>
  </w:num>
  <w:num w:numId="19">
    <w:abstractNumId w:val="2"/>
  </w:num>
  <w:num w:numId="20">
    <w:abstractNumId w:val="15"/>
  </w:num>
  <w:num w:numId="21">
    <w:abstractNumId w:val="12"/>
  </w:num>
  <w:num w:numId="22">
    <w:abstractNumId w:val="31"/>
  </w:num>
  <w:num w:numId="23">
    <w:abstractNumId w:val="27"/>
  </w:num>
  <w:num w:numId="24">
    <w:abstractNumId w:val="16"/>
  </w:num>
  <w:num w:numId="25">
    <w:abstractNumId w:val="1"/>
  </w:num>
  <w:num w:numId="26">
    <w:abstractNumId w:val="24"/>
  </w:num>
  <w:num w:numId="27">
    <w:abstractNumId w:val="3"/>
  </w:num>
  <w:num w:numId="28">
    <w:abstractNumId w:val="22"/>
  </w:num>
  <w:num w:numId="29">
    <w:abstractNumId w:val="26"/>
  </w:num>
  <w:num w:numId="30">
    <w:abstractNumId w:val="21"/>
  </w:num>
  <w:num w:numId="31">
    <w:abstractNumId w:val="17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A5A"/>
    <w:rsid w:val="0004603D"/>
    <w:rsid w:val="00183021"/>
    <w:rsid w:val="00295609"/>
    <w:rsid w:val="004C0A5A"/>
    <w:rsid w:val="00515486"/>
    <w:rsid w:val="005A7BDB"/>
    <w:rsid w:val="00662922"/>
    <w:rsid w:val="009C022B"/>
    <w:rsid w:val="00A65B33"/>
    <w:rsid w:val="00C5026F"/>
    <w:rsid w:val="00DA3034"/>
    <w:rsid w:val="00DA4F2D"/>
    <w:rsid w:val="00E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4B768-8974-4AB3-957A-C7A22C0F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A5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A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A5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A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A5A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rsid w:val="004C0A5A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4C0A5A"/>
    <w:pPr>
      <w:autoSpaceDN w:val="0"/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A5A"/>
    <w:rPr>
      <w:rFonts w:ascii="Calibri" w:eastAsia="Calibri" w:hAnsi="Calibri" w:cs="Times New Roman"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4C0A5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C0A5A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0A5A"/>
    <w:rPr>
      <w:rFonts w:ascii="Arial" w:eastAsia="Arial" w:hAnsi="Arial" w:cs="Arial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4C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0A5A"/>
    <w:rPr>
      <w:b/>
      <w:bCs/>
    </w:rPr>
  </w:style>
  <w:style w:type="character" w:styleId="Uwydatnienie">
    <w:name w:val="Emphasis"/>
    <w:basedOn w:val="Domylnaczcionkaakapitu"/>
    <w:uiPriority w:val="20"/>
    <w:qFormat/>
    <w:rsid w:val="004C0A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5A"/>
    <w:rPr>
      <w:rFonts w:ascii="Tahoma" w:eastAsia="Arial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9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9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-lex.europa.eu/legal-content/pl/TXT/PDF/?uri=CELEX:32006H0962&amp;from=pl" TargetMode="External"/><Relationship Id="rId2" Type="http://schemas.openxmlformats.org/officeDocument/2006/relationships/hyperlink" Target="https://sjp.pwn.pl/slowniki/kompetencje.html" TargetMode="External"/><Relationship Id="rId1" Type="http://schemas.openxmlformats.org/officeDocument/2006/relationships/hyperlink" Target="https://ec.eu-ropa.eu/jrc/sites/jrcsh/files/digcompedu_leaflet_en-2017-10-09.pdf" TargetMode="External"/><Relationship Id="rId5" Type="http://schemas.openxmlformats.org/officeDocument/2006/relationships/hyperlink" Target="https://serwis-uslugirozwojowe.parp.gov.pl/component/content/article/73481:swiat-sie-zmienia-jakich-kompetencji-bedziemy-potrzebowali-w-przyszlosci" TargetMode="External"/><Relationship Id="rId4" Type="http://schemas.openxmlformats.org/officeDocument/2006/relationships/hyperlink" Target="https://www.umcs.pl/pl/badania-i-raporty,13192,praca-i-kompetencje-przyszlosci-wnioski-z-raportu-swiatowego-forum-ekonomicznego-2020,100615.c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11F33-8846-4717-91D3-0E565F3A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dkiszczak</cp:lastModifiedBy>
  <cp:revision>5</cp:revision>
  <dcterms:created xsi:type="dcterms:W3CDTF">2023-01-29T14:57:00Z</dcterms:created>
  <dcterms:modified xsi:type="dcterms:W3CDTF">2023-01-31T09:19:00Z</dcterms:modified>
</cp:coreProperties>
</file>